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31B00" w14:textId="77777777" w:rsidR="006B5AF9" w:rsidRDefault="009D77D1" w:rsidP="00003737">
      <w:pPr>
        <w:spacing w:before="29" w:line="266" w:lineRule="exact"/>
        <w:ind w:left="103"/>
        <w:jc w:val="center"/>
        <w:rPr>
          <w:rFonts w:ascii="Calibri" w:hAnsi="Calibri"/>
          <w:sz w:val="32"/>
          <w:szCs w:val="32"/>
        </w:rPr>
      </w:pPr>
      <w:r w:rsidRPr="00C20968">
        <w:rPr>
          <w:rFonts w:ascii="Calibri" w:hAnsi="Calibri"/>
          <w:sz w:val="32"/>
          <w:szCs w:val="32"/>
        </w:rPr>
        <w:t>APPENDIX A</w:t>
      </w:r>
      <w:r w:rsidR="00B703B5">
        <w:rPr>
          <w:rFonts w:ascii="Calibri" w:hAnsi="Calibri"/>
          <w:sz w:val="32"/>
          <w:szCs w:val="32"/>
        </w:rPr>
        <w:t xml:space="preserve"> </w:t>
      </w:r>
    </w:p>
    <w:p w14:paraId="6D57AC62" w14:textId="4E4552E5" w:rsidR="00534B26" w:rsidRDefault="00B703B5" w:rsidP="00534B26">
      <w:pPr>
        <w:spacing w:before="2" w:line="235" w:lineRule="auto"/>
        <w:ind w:left="104" w:right="203"/>
        <w:rPr>
          <w:rFonts w:ascii="Calibri"/>
          <w:sz w:val="23"/>
        </w:rPr>
      </w:pPr>
      <w:r w:rsidRPr="006B5AF9">
        <w:rPr>
          <w:rFonts w:ascii="Calibri" w:hAnsi="Calibri"/>
          <w:sz w:val="32"/>
          <w:szCs w:val="32"/>
        </w:rPr>
        <w:t>Vehicle Acquisition Matrix</w:t>
      </w:r>
      <w:r w:rsidR="00003737">
        <w:rPr>
          <w:rFonts w:ascii="Calibri"/>
          <w:strike/>
          <w:sz w:val="23"/>
        </w:rPr>
        <w:t>.</w:t>
      </w:r>
      <w:r w:rsidR="00534B26">
        <w:rPr>
          <w:rFonts w:ascii="Calibri"/>
          <w:sz w:val="23"/>
        </w:rPr>
        <w:t xml:space="preserve"> </w:t>
      </w:r>
      <w:r w:rsidR="00C20968">
        <w:rPr>
          <w:rFonts w:ascii="Calibri"/>
          <w:sz w:val="23"/>
        </w:rPr>
        <w:t xml:space="preserve">The </w:t>
      </w:r>
      <w:r w:rsidR="00534B26">
        <w:rPr>
          <w:rFonts w:ascii="Calibri"/>
          <w:sz w:val="23"/>
        </w:rPr>
        <w:t>State of Georgia</w:t>
      </w:r>
      <w:r w:rsidR="00C20968">
        <w:rPr>
          <w:rFonts w:ascii="Calibri"/>
          <w:sz w:val="23"/>
        </w:rPr>
        <w:t>’</w:t>
      </w:r>
      <w:r w:rsidR="00C20968">
        <w:rPr>
          <w:rFonts w:ascii="Calibri"/>
          <w:sz w:val="23"/>
        </w:rPr>
        <w:t>s</w:t>
      </w:r>
      <w:r w:rsidR="00534B26">
        <w:rPr>
          <w:rFonts w:ascii="Calibri"/>
          <w:sz w:val="23"/>
        </w:rPr>
        <w:t xml:space="preserve"> fleet includes </w:t>
      </w:r>
      <w:r w:rsidR="00FD12B5">
        <w:rPr>
          <w:rFonts w:ascii="Calibri"/>
          <w:sz w:val="23"/>
        </w:rPr>
        <w:t>several</w:t>
      </w:r>
      <w:r w:rsidR="00534B26">
        <w:rPr>
          <w:rFonts w:ascii="Calibri"/>
          <w:sz w:val="23"/>
        </w:rPr>
        <w:t xml:space="preserve"> aged and/or high mileage vehicles. Reducing the average age and mileage of the fleet is a goal of the Office of Fleet Management</w:t>
      </w:r>
      <w:r>
        <w:rPr>
          <w:rFonts w:ascii="Calibri"/>
          <w:sz w:val="23"/>
        </w:rPr>
        <w:t xml:space="preserve"> (OFM)</w:t>
      </w:r>
      <w:r w:rsidR="00534B26">
        <w:rPr>
          <w:rFonts w:ascii="Calibri"/>
          <w:sz w:val="23"/>
        </w:rPr>
        <w:t xml:space="preserve">. To allow these vehicles to be </w:t>
      </w:r>
      <w:r w:rsidR="00C20968">
        <w:rPr>
          <w:rFonts w:ascii="Calibri"/>
          <w:sz w:val="23"/>
        </w:rPr>
        <w:t xml:space="preserve">transferred from one agency to another </w:t>
      </w:r>
      <w:r w:rsidR="00534B26">
        <w:rPr>
          <w:rFonts w:ascii="Calibri"/>
          <w:sz w:val="23"/>
        </w:rPr>
        <w:t xml:space="preserve">defeats those efforts. </w:t>
      </w:r>
      <w:r w:rsidR="00C56209">
        <w:rPr>
          <w:rFonts w:ascii="Calibri"/>
          <w:sz w:val="23"/>
        </w:rPr>
        <w:t xml:space="preserve">To </w:t>
      </w:r>
      <w:r w:rsidR="00534B26">
        <w:rPr>
          <w:rFonts w:ascii="Calibri"/>
          <w:sz w:val="23"/>
        </w:rPr>
        <w:t xml:space="preserve">reduce the number of these types of vehicles that </w:t>
      </w:r>
      <w:r w:rsidR="00FD12B5">
        <w:rPr>
          <w:rFonts w:ascii="Calibri"/>
          <w:sz w:val="23"/>
        </w:rPr>
        <w:t>can</w:t>
      </w:r>
      <w:r w:rsidR="00534B26">
        <w:rPr>
          <w:rFonts w:ascii="Calibri"/>
          <w:sz w:val="23"/>
        </w:rPr>
        <w:t xml:space="preserve"> re-enter the vehicle inventory after replacement or disposal, we have established guidelines on state agency acquisition of vehicles</w:t>
      </w:r>
      <w:r w:rsidR="00FD12B5">
        <w:rPr>
          <w:rFonts w:ascii="Calibri"/>
          <w:sz w:val="23"/>
        </w:rPr>
        <w:t>.</w:t>
      </w:r>
      <w:r w:rsidR="00534B26">
        <w:rPr>
          <w:rFonts w:ascii="Calibri"/>
          <w:sz w:val="23"/>
        </w:rPr>
        <w:t xml:space="preserve"> These guidelines will apply to vehicles proposed for acquisition from any source, </w:t>
      </w:r>
      <w:r w:rsidR="00C56209">
        <w:rPr>
          <w:rFonts w:ascii="Calibri"/>
          <w:sz w:val="23"/>
        </w:rPr>
        <w:t xml:space="preserve">including </w:t>
      </w:r>
      <w:r w:rsidR="00534B26">
        <w:rPr>
          <w:rFonts w:ascii="Calibri"/>
          <w:sz w:val="23"/>
        </w:rPr>
        <w:t>donated and used vehicle purcha</w:t>
      </w:r>
      <w:r w:rsidR="009D77D1">
        <w:rPr>
          <w:rFonts w:ascii="Calibri"/>
          <w:sz w:val="23"/>
        </w:rPr>
        <w:t xml:space="preserve">ses. Effective April 15, </w:t>
      </w:r>
      <w:r w:rsidR="00003737">
        <w:rPr>
          <w:rFonts w:ascii="Calibri"/>
          <w:sz w:val="23"/>
        </w:rPr>
        <w:t>2012, the</w:t>
      </w:r>
      <w:r w:rsidR="00534B26">
        <w:rPr>
          <w:rFonts w:ascii="Calibri"/>
          <w:sz w:val="23"/>
        </w:rPr>
        <w:t xml:space="preserve"> guidelines will apply to any state agency falling under the policies and procedures of Policy 10: Rules, Regulations and Procedures Governing the Purchase, Operation and Disposal of Motor Vehicles and Associated Record-keeping</w:t>
      </w:r>
      <w:r w:rsidR="00FD12B5">
        <w:rPr>
          <w:rFonts w:ascii="Calibri"/>
          <w:sz w:val="23"/>
        </w:rPr>
        <w:t xml:space="preserve">. </w:t>
      </w:r>
      <w:r w:rsidR="00534B26">
        <w:rPr>
          <w:rFonts w:ascii="Calibri"/>
          <w:sz w:val="23"/>
        </w:rPr>
        <w:t>These may be rescinded or altered as determined by OFM and</w:t>
      </w:r>
      <w:r w:rsidR="00534B26">
        <w:rPr>
          <w:rFonts w:ascii="Calibri"/>
          <w:spacing w:val="-19"/>
          <w:sz w:val="23"/>
        </w:rPr>
        <w:t xml:space="preserve"> </w:t>
      </w:r>
      <w:r w:rsidR="00534B26">
        <w:rPr>
          <w:rFonts w:ascii="Calibri"/>
          <w:sz w:val="23"/>
        </w:rPr>
        <w:t>OPB.</w:t>
      </w:r>
    </w:p>
    <w:p w14:paraId="7360451F" w14:textId="77777777" w:rsidR="00534B26" w:rsidRDefault="00534B26" w:rsidP="00534B26">
      <w:pPr>
        <w:pStyle w:val="BodyText"/>
        <w:spacing w:before="10"/>
        <w:rPr>
          <w:rFonts w:ascii="Calibri"/>
          <w:sz w:val="10"/>
        </w:rPr>
      </w:pPr>
    </w:p>
    <w:tbl>
      <w:tblPr>
        <w:tblW w:w="0" w:type="auto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040"/>
        <w:gridCol w:w="2280"/>
        <w:gridCol w:w="1680"/>
        <w:gridCol w:w="2520"/>
        <w:gridCol w:w="1800"/>
      </w:tblGrid>
      <w:tr w:rsidR="00534B26" w14:paraId="6614C202" w14:textId="77777777" w:rsidTr="00AA60CB">
        <w:trPr>
          <w:trHeight w:val="823"/>
        </w:trPr>
        <w:tc>
          <w:tcPr>
            <w:tcW w:w="2760" w:type="dxa"/>
            <w:tcBorders>
              <w:bottom w:val="single" w:sz="24" w:space="0" w:color="FFFFFF"/>
            </w:tcBorders>
            <w:shd w:val="clear" w:color="auto" w:fill="4F81BD"/>
          </w:tcPr>
          <w:p w14:paraId="4F48A8C0" w14:textId="77777777" w:rsidR="00534B26" w:rsidRDefault="00534B26" w:rsidP="00AA60CB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317EBC92" w14:textId="77777777" w:rsidR="00534B26" w:rsidRDefault="00534B26" w:rsidP="00AA60CB">
            <w:pPr>
              <w:pStyle w:val="TableParagraph"/>
              <w:spacing w:before="1"/>
              <w:ind w:left="1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Type of Vehicle</w:t>
            </w:r>
          </w:p>
        </w:tc>
        <w:tc>
          <w:tcPr>
            <w:tcW w:w="2040" w:type="dxa"/>
            <w:tcBorders>
              <w:bottom w:val="single" w:sz="24" w:space="0" w:color="FFFFFF"/>
            </w:tcBorders>
            <w:shd w:val="clear" w:color="auto" w:fill="4F81BD"/>
          </w:tcPr>
          <w:p w14:paraId="6614F950" w14:textId="77777777" w:rsidR="00534B26" w:rsidRDefault="00534B26" w:rsidP="00AA60CB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4DAD6ED1" w14:textId="77777777" w:rsidR="00534B26" w:rsidRDefault="00534B26" w:rsidP="00AA60CB">
            <w:pPr>
              <w:pStyle w:val="TableParagraph"/>
              <w:spacing w:line="235" w:lineRule="auto"/>
              <w:ind w:left="14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Not Available for Transfer or Purchase</w:t>
            </w:r>
          </w:p>
        </w:tc>
        <w:tc>
          <w:tcPr>
            <w:tcW w:w="2280" w:type="dxa"/>
            <w:tcBorders>
              <w:bottom w:val="single" w:sz="24" w:space="0" w:color="FFFFFF"/>
            </w:tcBorders>
            <w:shd w:val="clear" w:color="auto" w:fill="4F81BD"/>
          </w:tcPr>
          <w:p w14:paraId="11813254" w14:textId="77777777" w:rsidR="00534B26" w:rsidRDefault="00534B26" w:rsidP="00AA60CB">
            <w:pPr>
              <w:pStyle w:val="TableParagraph"/>
              <w:spacing w:before="179" w:line="242" w:lineRule="exact"/>
              <w:ind w:left="1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Only Available to Police</w:t>
            </w:r>
          </w:p>
          <w:p w14:paraId="2474714C" w14:textId="77777777" w:rsidR="00534B26" w:rsidRDefault="00534B26" w:rsidP="00AA60CB">
            <w:pPr>
              <w:pStyle w:val="TableParagraph"/>
              <w:spacing w:line="242" w:lineRule="exact"/>
              <w:ind w:left="1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/ Public Safety</w:t>
            </w:r>
          </w:p>
        </w:tc>
        <w:tc>
          <w:tcPr>
            <w:tcW w:w="1680" w:type="dxa"/>
            <w:tcBorders>
              <w:bottom w:val="single" w:sz="24" w:space="0" w:color="FFFFFF"/>
            </w:tcBorders>
            <w:shd w:val="clear" w:color="auto" w:fill="4F81BD"/>
          </w:tcPr>
          <w:p w14:paraId="222B2D9A" w14:textId="77777777" w:rsidR="00534B26" w:rsidRDefault="00534B26" w:rsidP="00AA60CB">
            <w:pPr>
              <w:pStyle w:val="TableParagraph"/>
              <w:spacing w:before="179" w:line="242" w:lineRule="exact"/>
              <w:ind w:left="1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Only available</w:t>
            </w:r>
          </w:p>
          <w:p w14:paraId="6D81413D" w14:textId="77777777" w:rsidR="00534B26" w:rsidRDefault="00534B26" w:rsidP="00AA60CB">
            <w:pPr>
              <w:pStyle w:val="TableParagraph"/>
              <w:spacing w:line="242" w:lineRule="exact"/>
              <w:ind w:left="1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&lt;175,000 Miles</w:t>
            </w:r>
          </w:p>
        </w:tc>
        <w:tc>
          <w:tcPr>
            <w:tcW w:w="2520" w:type="dxa"/>
            <w:tcBorders>
              <w:bottom w:val="single" w:sz="24" w:space="0" w:color="FFFFFF"/>
            </w:tcBorders>
            <w:shd w:val="clear" w:color="auto" w:fill="4F81BD"/>
          </w:tcPr>
          <w:p w14:paraId="12B0A844" w14:textId="77777777" w:rsidR="00534B26" w:rsidRDefault="00534B26" w:rsidP="00AA60CB">
            <w:pPr>
              <w:pStyle w:val="TableParagraph"/>
              <w:spacing w:before="62" w:line="235" w:lineRule="auto"/>
              <w:ind w:left="1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Only Available &lt; 275,000 Miles (GAS) / &lt; 500,000</w:t>
            </w:r>
          </w:p>
          <w:p w14:paraId="1E33E9C9" w14:textId="77777777" w:rsidR="00534B26" w:rsidRDefault="00534B26" w:rsidP="00AA60CB">
            <w:pPr>
              <w:pStyle w:val="TableParagraph"/>
              <w:spacing w:line="242" w:lineRule="exact"/>
              <w:ind w:left="1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Miles (DIESEL)</w:t>
            </w:r>
          </w:p>
        </w:tc>
        <w:tc>
          <w:tcPr>
            <w:tcW w:w="1800" w:type="dxa"/>
            <w:tcBorders>
              <w:bottom w:val="single" w:sz="24" w:space="0" w:color="FFFFFF"/>
            </w:tcBorders>
            <w:shd w:val="clear" w:color="auto" w:fill="4F81BD"/>
          </w:tcPr>
          <w:p w14:paraId="489C7685" w14:textId="77777777" w:rsidR="00534B26" w:rsidRDefault="00534B26" w:rsidP="00AA60CB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357BB67E" w14:textId="77777777" w:rsidR="00534B26" w:rsidRDefault="00534B26" w:rsidP="00AA60CB">
            <w:pPr>
              <w:pStyle w:val="TableParagraph"/>
              <w:spacing w:before="1" w:line="235" w:lineRule="auto"/>
              <w:ind w:left="144" w:right="2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Only Available &lt; 800,000 Miles</w:t>
            </w:r>
          </w:p>
        </w:tc>
      </w:tr>
      <w:tr w:rsidR="00534B26" w14:paraId="40069361" w14:textId="77777777" w:rsidTr="00AA60CB">
        <w:trPr>
          <w:trHeight w:val="488"/>
        </w:trPr>
        <w:tc>
          <w:tcPr>
            <w:tcW w:w="2760" w:type="dxa"/>
            <w:tcBorders>
              <w:top w:val="single" w:sz="24" w:space="0" w:color="FFFFFF"/>
            </w:tcBorders>
            <w:shd w:val="clear" w:color="auto" w:fill="D0D8E8"/>
          </w:tcPr>
          <w:p w14:paraId="4563B672" w14:textId="271C20A2" w:rsidR="00534B26" w:rsidRDefault="00534B26" w:rsidP="00AA60CB">
            <w:pPr>
              <w:pStyle w:val="TableParagraph"/>
              <w:spacing w:before="39"/>
              <w:ind w:left="14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Pre</w:t>
            </w:r>
            <w:r w:rsidR="00C56209"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z w:val="21"/>
              </w:rPr>
              <w:t>2005 15 Passenger Vans</w:t>
            </w:r>
          </w:p>
        </w:tc>
        <w:tc>
          <w:tcPr>
            <w:tcW w:w="2040" w:type="dxa"/>
            <w:tcBorders>
              <w:top w:val="single" w:sz="24" w:space="0" w:color="FFFFFF"/>
            </w:tcBorders>
            <w:shd w:val="clear" w:color="auto" w:fill="D0D8E8"/>
          </w:tcPr>
          <w:p w14:paraId="1D5B0696" w14:textId="77777777" w:rsidR="00534B26" w:rsidRDefault="00534B26" w:rsidP="00AA60CB">
            <w:pPr>
              <w:pStyle w:val="TableParagraph"/>
              <w:spacing w:before="37"/>
              <w:ind w:left="19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X</w:t>
            </w:r>
          </w:p>
        </w:tc>
        <w:tc>
          <w:tcPr>
            <w:tcW w:w="2280" w:type="dxa"/>
            <w:tcBorders>
              <w:top w:val="single" w:sz="24" w:space="0" w:color="FFFFFF"/>
            </w:tcBorders>
            <w:shd w:val="clear" w:color="auto" w:fill="D0D8E8"/>
          </w:tcPr>
          <w:p w14:paraId="481873CC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  <w:tcBorders>
              <w:top w:val="single" w:sz="24" w:space="0" w:color="FFFFFF"/>
            </w:tcBorders>
            <w:shd w:val="clear" w:color="auto" w:fill="D0D8E8"/>
          </w:tcPr>
          <w:p w14:paraId="6D1F21A3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24" w:space="0" w:color="FFFFFF"/>
            </w:tcBorders>
            <w:shd w:val="clear" w:color="auto" w:fill="D0D8E8"/>
          </w:tcPr>
          <w:p w14:paraId="5E5A63D2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24" w:space="0" w:color="FFFFFF"/>
            </w:tcBorders>
            <w:shd w:val="clear" w:color="auto" w:fill="D0D8E8"/>
          </w:tcPr>
          <w:p w14:paraId="4CB46800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</w:tr>
      <w:tr w:rsidR="00534B26" w14:paraId="6A1B6EE2" w14:textId="77777777" w:rsidTr="00AA60CB">
        <w:trPr>
          <w:trHeight w:val="507"/>
        </w:trPr>
        <w:tc>
          <w:tcPr>
            <w:tcW w:w="2760" w:type="dxa"/>
            <w:shd w:val="clear" w:color="auto" w:fill="E9EDF4"/>
          </w:tcPr>
          <w:p w14:paraId="5750BFBC" w14:textId="77777777" w:rsidR="00534B26" w:rsidRDefault="00534B26" w:rsidP="00AA60CB">
            <w:pPr>
              <w:pStyle w:val="TableParagraph"/>
              <w:spacing w:before="59"/>
              <w:ind w:left="14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Ford Crown Victoria</w:t>
            </w:r>
          </w:p>
        </w:tc>
        <w:tc>
          <w:tcPr>
            <w:tcW w:w="2040" w:type="dxa"/>
            <w:shd w:val="clear" w:color="auto" w:fill="E9EDF4"/>
          </w:tcPr>
          <w:p w14:paraId="4FD884C9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shd w:val="clear" w:color="auto" w:fill="E9EDF4"/>
          </w:tcPr>
          <w:p w14:paraId="406AE5AA" w14:textId="77777777" w:rsidR="00534B26" w:rsidRDefault="00534B26" w:rsidP="00AA60CB">
            <w:pPr>
              <w:pStyle w:val="TableParagraph"/>
              <w:spacing w:before="57"/>
              <w:ind w:left="19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X</w:t>
            </w:r>
          </w:p>
        </w:tc>
        <w:tc>
          <w:tcPr>
            <w:tcW w:w="1680" w:type="dxa"/>
            <w:shd w:val="clear" w:color="auto" w:fill="E9EDF4"/>
          </w:tcPr>
          <w:p w14:paraId="5FF99202" w14:textId="77777777" w:rsidR="00534B26" w:rsidRDefault="00534B26" w:rsidP="00AA60CB">
            <w:pPr>
              <w:pStyle w:val="TableParagraph"/>
              <w:spacing w:before="57"/>
              <w:ind w:right="735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X</w:t>
            </w:r>
          </w:p>
        </w:tc>
        <w:tc>
          <w:tcPr>
            <w:tcW w:w="2520" w:type="dxa"/>
            <w:shd w:val="clear" w:color="auto" w:fill="E9EDF4"/>
          </w:tcPr>
          <w:p w14:paraId="04633C1C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shd w:val="clear" w:color="auto" w:fill="E9EDF4"/>
          </w:tcPr>
          <w:p w14:paraId="6E05A86E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</w:tr>
      <w:tr w:rsidR="00534B26" w14:paraId="10ABE4D9" w14:textId="77777777" w:rsidTr="00AA60CB">
        <w:trPr>
          <w:trHeight w:val="880"/>
        </w:trPr>
        <w:tc>
          <w:tcPr>
            <w:tcW w:w="2760" w:type="dxa"/>
            <w:shd w:val="clear" w:color="auto" w:fill="D0D8E8"/>
          </w:tcPr>
          <w:p w14:paraId="3979B5BC" w14:textId="77777777" w:rsidR="00534B26" w:rsidRDefault="00534B26" w:rsidP="00AA60CB">
            <w:pPr>
              <w:pStyle w:val="TableParagraph"/>
              <w:spacing w:before="63" w:line="235" w:lineRule="auto"/>
              <w:ind w:left="143" w:right="19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Sedans, Small Vans and Pick Up Trucks no greater than 10,000 Pounds GVW</w:t>
            </w:r>
          </w:p>
        </w:tc>
        <w:tc>
          <w:tcPr>
            <w:tcW w:w="2040" w:type="dxa"/>
            <w:shd w:val="clear" w:color="auto" w:fill="D0D8E8"/>
          </w:tcPr>
          <w:p w14:paraId="0D3DBAC7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shd w:val="clear" w:color="auto" w:fill="D0D8E8"/>
          </w:tcPr>
          <w:p w14:paraId="143310BA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  <w:shd w:val="clear" w:color="auto" w:fill="D0D8E8"/>
          </w:tcPr>
          <w:p w14:paraId="06157E66" w14:textId="77777777" w:rsidR="00534B26" w:rsidRDefault="00534B26" w:rsidP="00AA60CB">
            <w:pPr>
              <w:pStyle w:val="TableParagraph"/>
              <w:spacing w:before="243"/>
              <w:ind w:right="735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X</w:t>
            </w:r>
          </w:p>
        </w:tc>
        <w:tc>
          <w:tcPr>
            <w:tcW w:w="2520" w:type="dxa"/>
            <w:shd w:val="clear" w:color="auto" w:fill="D0D8E8"/>
          </w:tcPr>
          <w:p w14:paraId="019EC5D5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shd w:val="clear" w:color="auto" w:fill="D0D8E8"/>
          </w:tcPr>
          <w:p w14:paraId="43182763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</w:tr>
      <w:tr w:rsidR="00534B26" w14:paraId="7F2A0DA1" w14:textId="77777777" w:rsidTr="00AA60CB">
        <w:trPr>
          <w:trHeight w:val="880"/>
        </w:trPr>
        <w:tc>
          <w:tcPr>
            <w:tcW w:w="2760" w:type="dxa"/>
            <w:shd w:val="clear" w:color="auto" w:fill="E9EDF4"/>
          </w:tcPr>
          <w:p w14:paraId="2D771CA5" w14:textId="0DD7FA27" w:rsidR="00534B26" w:rsidRDefault="00534B26" w:rsidP="00AA60CB">
            <w:pPr>
              <w:pStyle w:val="TableParagraph"/>
              <w:spacing w:before="63" w:line="235" w:lineRule="auto"/>
              <w:ind w:left="144" w:right="41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Cutaways and all vehicles from 10,000 to 26,000 Pounds </w:t>
            </w:r>
            <w:r w:rsidR="00B703B5">
              <w:rPr>
                <w:rFonts w:ascii="Calibri"/>
                <w:sz w:val="21"/>
              </w:rPr>
              <w:t>Gross Vehicle Weight Rating (</w:t>
            </w:r>
            <w:r>
              <w:rPr>
                <w:rFonts w:ascii="Calibri"/>
                <w:sz w:val="21"/>
              </w:rPr>
              <w:t>GVW</w:t>
            </w:r>
            <w:r w:rsidR="00C56209">
              <w:rPr>
                <w:rFonts w:ascii="Calibri"/>
                <w:sz w:val="21"/>
              </w:rPr>
              <w:t>R</w:t>
            </w:r>
            <w:r w:rsidR="00B703B5">
              <w:rPr>
                <w:rFonts w:ascii="Calibri"/>
                <w:sz w:val="21"/>
              </w:rPr>
              <w:t>)</w:t>
            </w:r>
          </w:p>
        </w:tc>
        <w:tc>
          <w:tcPr>
            <w:tcW w:w="2040" w:type="dxa"/>
            <w:shd w:val="clear" w:color="auto" w:fill="E9EDF4"/>
          </w:tcPr>
          <w:p w14:paraId="4D92A82D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shd w:val="clear" w:color="auto" w:fill="E9EDF4"/>
          </w:tcPr>
          <w:p w14:paraId="0E4AB612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  <w:shd w:val="clear" w:color="auto" w:fill="E9EDF4"/>
          </w:tcPr>
          <w:p w14:paraId="63377D58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E9EDF4"/>
          </w:tcPr>
          <w:p w14:paraId="62D08AA2" w14:textId="77777777" w:rsidR="00534B26" w:rsidRDefault="00534B26" w:rsidP="00AA60CB">
            <w:pPr>
              <w:pStyle w:val="TableParagraph"/>
              <w:spacing w:before="243"/>
              <w:ind w:left="19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X</w:t>
            </w:r>
          </w:p>
        </w:tc>
        <w:tc>
          <w:tcPr>
            <w:tcW w:w="1800" w:type="dxa"/>
            <w:shd w:val="clear" w:color="auto" w:fill="E9EDF4"/>
          </w:tcPr>
          <w:p w14:paraId="756357BE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</w:tr>
      <w:tr w:rsidR="00534B26" w14:paraId="21B94DFE" w14:textId="77777777" w:rsidTr="00AA60CB">
        <w:trPr>
          <w:trHeight w:val="628"/>
        </w:trPr>
        <w:tc>
          <w:tcPr>
            <w:tcW w:w="2760" w:type="dxa"/>
            <w:shd w:val="clear" w:color="auto" w:fill="D0D8E8"/>
          </w:tcPr>
          <w:p w14:paraId="0B59D234" w14:textId="31A46DFB" w:rsidR="00534B26" w:rsidRDefault="00534B26" w:rsidP="00AA60CB">
            <w:pPr>
              <w:pStyle w:val="TableParagraph"/>
              <w:spacing w:before="63" w:line="235" w:lineRule="auto"/>
              <w:ind w:left="143" w:right="20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All Vehicles with a GVW</w:t>
            </w:r>
            <w:r w:rsidR="00B703B5">
              <w:rPr>
                <w:rFonts w:ascii="Calibri"/>
                <w:sz w:val="21"/>
              </w:rPr>
              <w:t>R</w:t>
            </w:r>
            <w:r>
              <w:rPr>
                <w:rFonts w:ascii="Calibri"/>
                <w:sz w:val="21"/>
              </w:rPr>
              <w:t xml:space="preserve"> greater than 26,000 Pounds</w:t>
            </w:r>
          </w:p>
        </w:tc>
        <w:tc>
          <w:tcPr>
            <w:tcW w:w="2040" w:type="dxa"/>
            <w:shd w:val="clear" w:color="auto" w:fill="D0D8E8"/>
          </w:tcPr>
          <w:p w14:paraId="0FE1B9FC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shd w:val="clear" w:color="auto" w:fill="D0D8E8"/>
          </w:tcPr>
          <w:p w14:paraId="61A8A8A6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  <w:shd w:val="clear" w:color="auto" w:fill="D0D8E8"/>
          </w:tcPr>
          <w:p w14:paraId="1E5AD9AC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D0D8E8"/>
          </w:tcPr>
          <w:p w14:paraId="1E5D6E82" w14:textId="77777777" w:rsidR="00534B26" w:rsidRDefault="00534B26" w:rsidP="00AA60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shd w:val="clear" w:color="auto" w:fill="D0D8E8"/>
          </w:tcPr>
          <w:p w14:paraId="01652E99" w14:textId="77777777" w:rsidR="00534B26" w:rsidRDefault="00534B26" w:rsidP="00AA60CB">
            <w:pPr>
              <w:pStyle w:val="TableParagraph"/>
              <w:spacing w:before="117"/>
              <w:ind w:left="19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X</w:t>
            </w:r>
          </w:p>
        </w:tc>
      </w:tr>
    </w:tbl>
    <w:p w14:paraId="5CF1DBC5" w14:textId="77777777" w:rsidR="00534B26" w:rsidRDefault="00534B26" w:rsidP="00534B26">
      <w:pPr>
        <w:pStyle w:val="BodyText"/>
        <w:spacing w:before="11"/>
        <w:rPr>
          <w:rFonts w:ascii="Calibri"/>
          <w:sz w:val="20"/>
        </w:rPr>
      </w:pPr>
    </w:p>
    <w:p w14:paraId="4588F962" w14:textId="77777777" w:rsidR="00534B26" w:rsidRDefault="00534B26" w:rsidP="00534B26">
      <w:pPr>
        <w:pStyle w:val="ListParagraph"/>
        <w:numPr>
          <w:ilvl w:val="0"/>
          <w:numId w:val="2"/>
        </w:numPr>
        <w:tabs>
          <w:tab w:val="left" w:pos="763"/>
          <w:tab w:val="left" w:pos="764"/>
        </w:tabs>
        <w:spacing w:line="235" w:lineRule="auto"/>
        <w:ind w:right="1169"/>
        <w:rPr>
          <w:rFonts w:ascii="Calibri"/>
          <w:sz w:val="23"/>
        </w:rPr>
      </w:pPr>
      <w:r>
        <w:rPr>
          <w:rFonts w:ascii="Calibri"/>
          <w:sz w:val="23"/>
        </w:rPr>
        <w:t>No Vehicle Greater Than 15 Years Old (Difference Between Vehicle Model Year and Current Calendar Year) is Available for Purchase or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z w:val="23"/>
        </w:rPr>
        <w:t>Transfer</w:t>
      </w:r>
    </w:p>
    <w:p w14:paraId="32D3FA78" w14:textId="4E8F42CA" w:rsidR="00534B26" w:rsidRDefault="00534B26" w:rsidP="00534B26">
      <w:pPr>
        <w:pStyle w:val="ListParagraph"/>
        <w:numPr>
          <w:ilvl w:val="0"/>
          <w:numId w:val="2"/>
        </w:numPr>
        <w:tabs>
          <w:tab w:val="left" w:pos="763"/>
          <w:tab w:val="left" w:pos="764"/>
        </w:tabs>
        <w:spacing w:before="2" w:line="235" w:lineRule="auto"/>
        <w:ind w:right="393"/>
        <w:rPr>
          <w:rFonts w:ascii="Calibri"/>
          <w:sz w:val="23"/>
        </w:rPr>
      </w:pPr>
      <w:r>
        <w:rPr>
          <w:rFonts w:ascii="Calibri"/>
          <w:sz w:val="23"/>
        </w:rPr>
        <w:t xml:space="preserve">No Vehicle </w:t>
      </w:r>
      <w:r w:rsidR="00FD12B5">
        <w:rPr>
          <w:rFonts w:ascii="Calibri"/>
          <w:sz w:val="23"/>
        </w:rPr>
        <w:t>with</w:t>
      </w:r>
      <w:r>
        <w:rPr>
          <w:rFonts w:ascii="Calibri"/>
          <w:sz w:val="23"/>
        </w:rPr>
        <w:t xml:space="preserve"> Broken or Rolled Over Odometers Unless Mileage can be Established by OFM Records is Available for Purchase or Transfer</w:t>
      </w:r>
    </w:p>
    <w:p w14:paraId="093CAD95" w14:textId="77777777" w:rsidR="00534B26" w:rsidRDefault="00534B26" w:rsidP="00534B26">
      <w:pPr>
        <w:pStyle w:val="ListParagraph"/>
        <w:numPr>
          <w:ilvl w:val="0"/>
          <w:numId w:val="2"/>
        </w:numPr>
        <w:tabs>
          <w:tab w:val="left" w:pos="763"/>
          <w:tab w:val="left" w:pos="764"/>
        </w:tabs>
        <w:spacing w:line="276" w:lineRule="exact"/>
        <w:rPr>
          <w:rFonts w:ascii="Calibri"/>
          <w:sz w:val="23"/>
        </w:rPr>
      </w:pPr>
      <w:r>
        <w:rPr>
          <w:rFonts w:ascii="Calibri"/>
          <w:sz w:val="23"/>
        </w:rPr>
        <w:t>Exceptions:</w:t>
      </w:r>
    </w:p>
    <w:p w14:paraId="77DBD463" w14:textId="7D1CA809" w:rsidR="00534B26" w:rsidRDefault="00534B26" w:rsidP="00534B26">
      <w:pPr>
        <w:pStyle w:val="ListParagraph"/>
        <w:numPr>
          <w:ilvl w:val="0"/>
          <w:numId w:val="1"/>
        </w:numPr>
        <w:tabs>
          <w:tab w:val="left" w:pos="1483"/>
          <w:tab w:val="left" w:pos="1484"/>
        </w:tabs>
        <w:spacing w:line="276" w:lineRule="exact"/>
        <w:rPr>
          <w:rFonts w:ascii="Calibri"/>
          <w:sz w:val="23"/>
        </w:rPr>
      </w:pPr>
      <w:r>
        <w:rPr>
          <w:rFonts w:ascii="Calibri"/>
          <w:sz w:val="23"/>
        </w:rPr>
        <w:t xml:space="preserve">Technical Schools and Public Safety Training Center for </w:t>
      </w:r>
      <w:r w:rsidR="00B703B5">
        <w:rPr>
          <w:rFonts w:ascii="Calibri"/>
          <w:sz w:val="23"/>
        </w:rPr>
        <w:t>Non-Road</w:t>
      </w:r>
      <w:r>
        <w:rPr>
          <w:rFonts w:ascii="Calibri"/>
          <w:sz w:val="23"/>
        </w:rPr>
        <w:t xml:space="preserve"> Worthy Vehicles</w:t>
      </w:r>
      <w:r>
        <w:rPr>
          <w:rFonts w:ascii="Calibri"/>
          <w:spacing w:val="-13"/>
          <w:sz w:val="23"/>
        </w:rPr>
        <w:t xml:space="preserve"> </w:t>
      </w:r>
      <w:r>
        <w:rPr>
          <w:rFonts w:ascii="Calibri"/>
          <w:sz w:val="23"/>
        </w:rPr>
        <w:t>Only</w:t>
      </w:r>
    </w:p>
    <w:p w14:paraId="476FE10F" w14:textId="77777777" w:rsidR="00534B26" w:rsidRDefault="00534B26" w:rsidP="00534B26">
      <w:pPr>
        <w:pStyle w:val="ListParagraph"/>
        <w:numPr>
          <w:ilvl w:val="0"/>
          <w:numId w:val="1"/>
        </w:numPr>
        <w:tabs>
          <w:tab w:val="left" w:pos="1483"/>
          <w:tab w:val="left" w:pos="1484"/>
        </w:tabs>
        <w:spacing w:line="278" w:lineRule="exact"/>
        <w:rPr>
          <w:rFonts w:ascii="Calibri"/>
          <w:sz w:val="23"/>
        </w:rPr>
      </w:pPr>
      <w:r>
        <w:rPr>
          <w:rFonts w:ascii="Calibri"/>
          <w:sz w:val="23"/>
        </w:rPr>
        <w:t>Historical Vehicles Used for Display or Public</w:t>
      </w:r>
      <w:r>
        <w:rPr>
          <w:rFonts w:ascii="Calibri"/>
          <w:spacing w:val="-11"/>
          <w:sz w:val="23"/>
        </w:rPr>
        <w:t xml:space="preserve"> </w:t>
      </w:r>
      <w:r>
        <w:rPr>
          <w:rFonts w:ascii="Calibri"/>
          <w:sz w:val="23"/>
        </w:rPr>
        <w:t>Relations</w:t>
      </w:r>
    </w:p>
    <w:p w14:paraId="2A19E979" w14:textId="77777777" w:rsidR="00534B26" w:rsidRDefault="00534B26" w:rsidP="00534B26">
      <w:pPr>
        <w:pStyle w:val="BodyText"/>
        <w:spacing w:before="8"/>
        <w:rPr>
          <w:rFonts w:ascii="Calibri"/>
          <w:sz w:val="13"/>
        </w:rPr>
      </w:pPr>
    </w:p>
    <w:p w14:paraId="1EC8A95F" w14:textId="3B3BBA88" w:rsidR="00C56209" w:rsidRPr="009D77D1" w:rsidRDefault="00C56209" w:rsidP="00B703B5">
      <w:pPr>
        <w:pStyle w:val="BodyText"/>
        <w:tabs>
          <w:tab w:val="left" w:pos="8631"/>
        </w:tabs>
        <w:spacing w:before="52"/>
        <w:rPr>
          <w:rFonts w:ascii="Calibri"/>
        </w:rPr>
      </w:pPr>
    </w:p>
    <w:sectPr w:rsidR="00C56209" w:rsidRPr="009D77D1">
      <w:headerReference w:type="default" r:id="rId7"/>
      <w:footerReference w:type="default" r:id="rId8"/>
      <w:pgSz w:w="14400" w:h="10800" w:orient="landscape"/>
      <w:pgMar w:top="280" w:right="560" w:bottom="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51C8" w14:textId="77777777" w:rsidR="00580757" w:rsidRDefault="00580757">
      <w:r>
        <w:separator/>
      </w:r>
    </w:p>
  </w:endnote>
  <w:endnote w:type="continuationSeparator" w:id="0">
    <w:p w14:paraId="37383A39" w14:textId="77777777" w:rsidR="00580757" w:rsidRDefault="005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E597" w14:textId="77777777" w:rsidR="003F547A" w:rsidRDefault="0058075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8E5E" w14:textId="77777777" w:rsidR="00580757" w:rsidRDefault="00580757">
      <w:r>
        <w:separator/>
      </w:r>
    </w:p>
  </w:footnote>
  <w:footnote w:type="continuationSeparator" w:id="0">
    <w:p w14:paraId="57081805" w14:textId="77777777" w:rsidR="00580757" w:rsidRDefault="0058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CFB3" w14:textId="77777777" w:rsidR="003F547A" w:rsidRDefault="0058075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7024"/>
    <w:multiLevelType w:val="hybridMultilevel"/>
    <w:tmpl w:val="D8A60EDC"/>
    <w:lvl w:ilvl="0" w:tplc="91889568">
      <w:numFmt w:val="bullet"/>
      <w:lvlText w:val="•"/>
      <w:lvlJc w:val="left"/>
      <w:pPr>
        <w:ind w:left="764" w:hanging="540"/>
      </w:pPr>
      <w:rPr>
        <w:rFonts w:ascii="Arial" w:eastAsia="Arial" w:hAnsi="Arial" w:cs="Arial" w:hint="default"/>
        <w:w w:val="100"/>
        <w:sz w:val="23"/>
        <w:szCs w:val="23"/>
      </w:rPr>
    </w:lvl>
    <w:lvl w:ilvl="1" w:tplc="2214D150">
      <w:numFmt w:val="bullet"/>
      <w:lvlText w:val="•"/>
      <w:lvlJc w:val="left"/>
      <w:pPr>
        <w:ind w:left="2016" w:hanging="540"/>
      </w:pPr>
      <w:rPr>
        <w:rFonts w:hint="default"/>
      </w:rPr>
    </w:lvl>
    <w:lvl w:ilvl="2" w:tplc="72CEA578">
      <w:numFmt w:val="bullet"/>
      <w:lvlText w:val="•"/>
      <w:lvlJc w:val="left"/>
      <w:pPr>
        <w:ind w:left="3272" w:hanging="540"/>
      </w:pPr>
      <w:rPr>
        <w:rFonts w:hint="default"/>
      </w:rPr>
    </w:lvl>
    <w:lvl w:ilvl="3" w:tplc="7C44A1E8">
      <w:numFmt w:val="bullet"/>
      <w:lvlText w:val="•"/>
      <w:lvlJc w:val="left"/>
      <w:pPr>
        <w:ind w:left="4528" w:hanging="540"/>
      </w:pPr>
      <w:rPr>
        <w:rFonts w:hint="default"/>
      </w:rPr>
    </w:lvl>
    <w:lvl w:ilvl="4" w:tplc="B236756E">
      <w:numFmt w:val="bullet"/>
      <w:lvlText w:val="•"/>
      <w:lvlJc w:val="left"/>
      <w:pPr>
        <w:ind w:left="5784" w:hanging="540"/>
      </w:pPr>
      <w:rPr>
        <w:rFonts w:hint="default"/>
      </w:rPr>
    </w:lvl>
    <w:lvl w:ilvl="5" w:tplc="5C800F20">
      <w:numFmt w:val="bullet"/>
      <w:lvlText w:val="•"/>
      <w:lvlJc w:val="left"/>
      <w:pPr>
        <w:ind w:left="7040" w:hanging="540"/>
      </w:pPr>
      <w:rPr>
        <w:rFonts w:hint="default"/>
      </w:rPr>
    </w:lvl>
    <w:lvl w:ilvl="6" w:tplc="B058A342">
      <w:numFmt w:val="bullet"/>
      <w:lvlText w:val="•"/>
      <w:lvlJc w:val="left"/>
      <w:pPr>
        <w:ind w:left="8296" w:hanging="540"/>
      </w:pPr>
      <w:rPr>
        <w:rFonts w:hint="default"/>
      </w:rPr>
    </w:lvl>
    <w:lvl w:ilvl="7" w:tplc="8EEC778A">
      <w:numFmt w:val="bullet"/>
      <w:lvlText w:val="•"/>
      <w:lvlJc w:val="left"/>
      <w:pPr>
        <w:ind w:left="9552" w:hanging="540"/>
      </w:pPr>
      <w:rPr>
        <w:rFonts w:hint="default"/>
      </w:rPr>
    </w:lvl>
    <w:lvl w:ilvl="8" w:tplc="50043716">
      <w:numFmt w:val="bullet"/>
      <w:lvlText w:val="•"/>
      <w:lvlJc w:val="left"/>
      <w:pPr>
        <w:ind w:left="10808" w:hanging="540"/>
      </w:pPr>
      <w:rPr>
        <w:rFonts w:hint="default"/>
      </w:rPr>
    </w:lvl>
  </w:abstractNum>
  <w:abstractNum w:abstractNumId="1" w15:restartNumberingAfterBreak="0">
    <w:nsid w:val="435C5379"/>
    <w:multiLevelType w:val="hybridMultilevel"/>
    <w:tmpl w:val="38C06BC0"/>
    <w:lvl w:ilvl="0" w:tplc="417A66F2">
      <w:start w:val="1"/>
      <w:numFmt w:val="decimal"/>
      <w:lvlText w:val="%1."/>
      <w:lvlJc w:val="left"/>
      <w:pPr>
        <w:ind w:left="1484" w:hanging="540"/>
        <w:jc w:val="left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F0AEDDEE">
      <w:numFmt w:val="bullet"/>
      <w:lvlText w:val="•"/>
      <w:lvlJc w:val="left"/>
      <w:pPr>
        <w:ind w:left="2664" w:hanging="540"/>
      </w:pPr>
      <w:rPr>
        <w:rFonts w:hint="default"/>
      </w:rPr>
    </w:lvl>
    <w:lvl w:ilvl="2" w:tplc="7B4696CC">
      <w:numFmt w:val="bullet"/>
      <w:lvlText w:val="•"/>
      <w:lvlJc w:val="left"/>
      <w:pPr>
        <w:ind w:left="3848" w:hanging="540"/>
      </w:pPr>
      <w:rPr>
        <w:rFonts w:hint="default"/>
      </w:rPr>
    </w:lvl>
    <w:lvl w:ilvl="3" w:tplc="7FEC22B0">
      <w:numFmt w:val="bullet"/>
      <w:lvlText w:val="•"/>
      <w:lvlJc w:val="left"/>
      <w:pPr>
        <w:ind w:left="5032" w:hanging="540"/>
      </w:pPr>
      <w:rPr>
        <w:rFonts w:hint="default"/>
      </w:rPr>
    </w:lvl>
    <w:lvl w:ilvl="4" w:tplc="33E072A4">
      <w:numFmt w:val="bullet"/>
      <w:lvlText w:val="•"/>
      <w:lvlJc w:val="left"/>
      <w:pPr>
        <w:ind w:left="6216" w:hanging="540"/>
      </w:pPr>
      <w:rPr>
        <w:rFonts w:hint="default"/>
      </w:rPr>
    </w:lvl>
    <w:lvl w:ilvl="5" w:tplc="9BC68866">
      <w:numFmt w:val="bullet"/>
      <w:lvlText w:val="•"/>
      <w:lvlJc w:val="left"/>
      <w:pPr>
        <w:ind w:left="7400" w:hanging="540"/>
      </w:pPr>
      <w:rPr>
        <w:rFonts w:hint="default"/>
      </w:rPr>
    </w:lvl>
    <w:lvl w:ilvl="6" w:tplc="16041A82">
      <w:numFmt w:val="bullet"/>
      <w:lvlText w:val="•"/>
      <w:lvlJc w:val="left"/>
      <w:pPr>
        <w:ind w:left="8584" w:hanging="540"/>
      </w:pPr>
      <w:rPr>
        <w:rFonts w:hint="default"/>
      </w:rPr>
    </w:lvl>
    <w:lvl w:ilvl="7" w:tplc="357EB11E">
      <w:numFmt w:val="bullet"/>
      <w:lvlText w:val="•"/>
      <w:lvlJc w:val="left"/>
      <w:pPr>
        <w:ind w:left="9768" w:hanging="540"/>
      </w:pPr>
      <w:rPr>
        <w:rFonts w:hint="default"/>
      </w:rPr>
    </w:lvl>
    <w:lvl w:ilvl="8" w:tplc="66C63B1E">
      <w:numFmt w:val="bullet"/>
      <w:lvlText w:val="•"/>
      <w:lvlJc w:val="left"/>
      <w:pPr>
        <w:ind w:left="10952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26"/>
    <w:rsid w:val="00003737"/>
    <w:rsid w:val="002C7BB2"/>
    <w:rsid w:val="003E5C40"/>
    <w:rsid w:val="00534B26"/>
    <w:rsid w:val="00580757"/>
    <w:rsid w:val="006B5AF9"/>
    <w:rsid w:val="009B26BC"/>
    <w:rsid w:val="009D77D1"/>
    <w:rsid w:val="00A264A9"/>
    <w:rsid w:val="00B703B5"/>
    <w:rsid w:val="00BF3773"/>
    <w:rsid w:val="00C20968"/>
    <w:rsid w:val="00C56209"/>
    <w:rsid w:val="00D92160"/>
    <w:rsid w:val="00EF2726"/>
    <w:rsid w:val="00FD12B5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6413"/>
  <w15:chartTrackingRefBased/>
  <w15:docId w15:val="{B4521B6E-CA98-4501-9D22-1B716A39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4B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4B2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4B26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34B26"/>
    <w:pPr>
      <w:ind w:left="2279" w:hanging="540"/>
    </w:pPr>
  </w:style>
  <w:style w:type="paragraph" w:customStyle="1" w:styleId="TableParagraph">
    <w:name w:val="Table Paragraph"/>
    <w:basedOn w:val="Normal"/>
    <w:uiPriority w:val="1"/>
    <w:qFormat/>
    <w:rsid w:val="00534B26"/>
  </w:style>
  <w:style w:type="character" w:styleId="CommentReference">
    <w:name w:val="annotation reference"/>
    <w:basedOn w:val="DefaultParagraphFont"/>
    <w:uiPriority w:val="99"/>
    <w:semiHidden/>
    <w:unhideWhenUsed/>
    <w:rsid w:val="009D7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D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D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D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Sever, Jim</dc:creator>
  <cp:keywords/>
  <dc:description/>
  <cp:lastModifiedBy>Tiedemann, Gina</cp:lastModifiedBy>
  <cp:revision>2</cp:revision>
  <dcterms:created xsi:type="dcterms:W3CDTF">2018-05-24T17:03:00Z</dcterms:created>
  <dcterms:modified xsi:type="dcterms:W3CDTF">2018-05-24T17:03:00Z</dcterms:modified>
</cp:coreProperties>
</file>